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Deuteronomy 4:29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#216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The Apostles Creed (page 851)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1:28-29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1 John 1:7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80B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19:1-5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Sermon</w:t>
        <w:tab/>
        <w:t xml:space="preserve">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A Religious Upgrade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#425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Jeremiah 31:11-14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      Deuteronomy 4:29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#216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The Apostles Creed (page 851)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5a2wmf9usxax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1:28-29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w7dk7wtxc9u1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1 John 1:7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80B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19:1-5   Sermon</w:t>
        <w:tab/>
        <w:t xml:space="preserve">                                             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A Religious Upgrade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#425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Jeremiah 31:11-14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1st,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1st, 2026                                                                          9:00 A.M.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