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Isaiah 58:13-14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Turn back your foot from doing your pleasure on the Lord’s holy day, and call the Sabbath a delight and the holy day of the Lord honorable. Take delight in the Lord, and he will make you ride on the heights of the earth; 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he will feed you with the heritage of Jacob your father.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#14 (page 874)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do1plmlwzo44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Deuteronomy 5:8-10</w:t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40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9s9ohmowgx1q" w:id="1"/>
      <w:bookmarkEnd w:id="1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1:8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131B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2:1-5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Sermon</w:t>
        <w:tab/>
        <w:tab/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“High Mileage Saints”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#533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Numbers 6:24-26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hymn #559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***All bread is gluten free.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Isaiah 58:13-14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Turn back your foot from doing your pleasure on the Lord’s holy day, and call the Sabbath a delight and the holy day of the Lord honorable. Take delight in the Lord, and he will make you ride on the heights of the earth; </w:t>
      </w:r>
    </w:p>
    <w:p w:rsidR="00000000" w:rsidDel="00000000" w:rsidP="00000000" w:rsidRDefault="00000000" w:rsidRPr="00000000" w14:paraId="0000002B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he will feed you with the heritage of Jacob your father.</w:t>
      </w:r>
    </w:p>
    <w:p w:rsidR="00000000" w:rsidDel="00000000" w:rsidP="00000000" w:rsidRDefault="00000000" w:rsidRPr="00000000" w14:paraId="0000002C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Hymn #303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Heidelberg #14 (page 874)</w:t>
      </w:r>
    </w:p>
    <w:p w:rsidR="00000000" w:rsidDel="00000000" w:rsidP="00000000" w:rsidRDefault="00000000" w:rsidRPr="00000000" w14:paraId="0000002F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Psalm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27jpgqvu217t" w:id="2"/>
      <w:bookmarkEnd w:id="2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8zfwlrrkyv5l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Confession of Sin                                                  Deuteronomy 5:8-10</w:t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1by0hv8qe1e" w:id="4"/>
      <w:bookmarkEnd w:id="4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  <w:rtl w:val="0"/>
        </w:rPr>
        <w:t xml:space="preserve">Confirmation of the Gospel                                              Phillipians 1:8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Psalm 131B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**Pastoral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*New Testament Reading</w:t>
        <w:tab/>
        <w:t xml:space="preserve">                                                 Titus 2:1-5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Sermon</w:t>
        <w:tab/>
        <w:tab/>
        <w:t xml:space="preserve">                                         “High Mileage Saints”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***The Lord’s Supper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#533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Psalm 117B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</w:t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hymn #559</w:t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***All bread is gluten free.</w:t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25th, 2026         </w:t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January 25th, 2026         </w:t>
      </w:r>
    </w:p>
    <w:p w:rsidR="00000000" w:rsidDel="00000000" w:rsidP="00000000" w:rsidRDefault="00000000" w:rsidRPr="00000000" w14:paraId="00000078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4:00 P.M.</w:t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